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/>
          <w:b/>
          <w:b/>
          <w:sz w:val="28"/>
        </w:rPr>
      </w:pPr>
      <w:r>
        <w:rPr>
          <w:rFonts w:ascii="Times New Roman" w:hAnsi="Times New Roman"/>
          <w:b/>
          <w:sz w:val="28"/>
        </w:rPr>
        <w:t>Obrazac 20.</w:t>
      </w:r>
    </w:p>
    <w:p>
      <w:pPr>
        <w:pStyle w:val="Normal"/>
        <w:jc w:val="center"/>
        <w:rPr>
          <w:rFonts w:ascii="Times New Roman" w:hAnsi="Times New Roman"/>
          <w:b/>
          <w:b/>
          <w:sz w:val="24"/>
        </w:rPr>
      </w:pPr>
      <w:r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>
      <w:pPr>
        <w:pStyle w:val="Normal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  <w:lang w:val="pl-PL"/>
        </w:rPr>
        <w:t>Nadle</w:t>
      </w:r>
      <w:r>
        <w:rPr>
          <w:rFonts w:ascii="Times New Roman" w:hAnsi="Times New Roman"/>
          <w:sz w:val="20"/>
          <w:szCs w:val="20"/>
        </w:rPr>
        <w:t>ž</w:t>
      </w:r>
      <w:r>
        <w:rPr>
          <w:rFonts w:ascii="Times New Roman" w:hAnsi="Times New Roman"/>
          <w:sz w:val="20"/>
          <w:szCs w:val="20"/>
          <w:lang w:val="pl-PL"/>
        </w:rPr>
        <w:t>ni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pl-PL"/>
        </w:rPr>
        <w:t>trgova</w:t>
      </w:r>
      <w:r>
        <w:rPr>
          <w:rFonts w:ascii="Times New Roman" w:hAnsi="Times New Roman"/>
          <w:sz w:val="20"/>
          <w:szCs w:val="20"/>
        </w:rPr>
        <w:t>č</w:t>
      </w:r>
      <w:r>
        <w:rPr>
          <w:rFonts w:ascii="Times New Roman" w:hAnsi="Times New Roman"/>
          <w:sz w:val="20"/>
          <w:szCs w:val="20"/>
          <w:lang w:val="pl-PL"/>
        </w:rPr>
        <w:t>ki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lang w:val="pl-PL"/>
        </w:rPr>
        <w:t>sud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b/>
          <w:bCs/>
          <w:sz w:val="20"/>
          <w:szCs w:val="20"/>
        </w:rPr>
        <w:t>TRGOVAČKI SUD U VARAŽDINU</w:t>
      </w:r>
    </w:p>
    <w:p>
      <w:pPr>
        <w:pStyle w:val="Normal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pl-PL"/>
        </w:rPr>
        <w:t xml:space="preserve">Poslovni broj spisa </w:t>
      </w:r>
      <w:r>
        <w:rPr>
          <w:rFonts w:ascii="Times New Roman" w:hAnsi="Times New Roman"/>
          <w:b/>
          <w:bCs/>
          <w:sz w:val="20"/>
          <w:szCs w:val="20"/>
          <w:lang w:val="pl-PL"/>
        </w:rPr>
        <w:t>722/16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  <w:lang w:val="pl-PL"/>
        </w:rPr>
        <w:t xml:space="preserve">Dužnik (ime i prezime / tvrtka ili naziv, OIB, adresa / sjedište) </w:t>
      </w:r>
    </w:p>
    <w:p>
      <w:pPr>
        <w:pStyle w:val="Normal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hadow w:val="false"/>
          <w:sz w:val="20"/>
          <w:szCs w:val="20"/>
          <w:lang w:val="pl-PL"/>
        </w:rPr>
        <w:t>ALU-art d.o.o. u stečaju, Pribislavec, Ljudevita Gaja 21, OIB: 05288787000</w:t>
      </w:r>
    </w:p>
    <w:p>
      <w:pPr>
        <w:pStyle w:val="Normal"/>
        <w:jc w:val="center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</w:r>
    </w:p>
    <w:p>
      <w:pPr>
        <w:pStyle w:val="Normal"/>
        <w:rPr/>
      </w:pPr>
      <w:r>
        <w:rPr>
          <w:rFonts w:ascii="Times New Roman" w:hAnsi="Times New Roman"/>
          <w:sz w:val="22"/>
          <w:szCs w:val="22"/>
          <w:lang w:val="pl-PL"/>
        </w:rPr>
        <w:t>I.  TIJEK STEČAJNOGA POSTUPKA DO 30.06.2018.</w:t>
      </w:r>
    </w:p>
    <w:p>
      <w:pPr>
        <w:pStyle w:val="Normal"/>
        <w:rPr/>
      </w:pPr>
      <w:r>
        <w:rPr>
          <w:rFonts w:ascii="Times New Roman" w:hAnsi="Times New Roman"/>
          <w:sz w:val="20"/>
          <w:szCs w:val="20"/>
          <w:lang w:val="pl-PL"/>
        </w:rPr>
        <w:t>Izvješćujem gore nadležni Sud, da je dana 26.06.2018. godine, nakon višekratkih usmenih i pismenih opomena, kupac ALU ART PROJEKTI j.d.o.o. konačno uplatio preostalu kupoprodajnu razliku za predmete stečajne masę, sukladno procjeni predmeta stečajne masę kao i ponudi koju je kupac dao za kupnju predmeta još u prošloj godini. U narednih 15 dana planira se pripremiti i prijedlog za završni račun u stečaju, koji će biti dostavljen Sudu na odobrenje.</w:t>
      </w:r>
    </w:p>
    <w:p>
      <w:pPr>
        <w:pStyle w:val="Normal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  <w:sz w:val="22"/>
          <w:szCs w:val="22"/>
          <w:lang w:val="pl-PL"/>
        </w:rPr>
        <w:t>II. STANJE STEČAJNE MASE</w:t>
      </w:r>
    </w:p>
    <w:p>
      <w:pPr>
        <w:pStyle w:val="Normal"/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  <w:t>Tijekom stečajnog postupka, prodana je cjelokupna imovina, prema vrijednostimprikazanima u tabeli:</w:t>
      </w:r>
    </w:p>
    <w:p>
      <w:pPr>
        <w:pStyle w:val="Normal"/>
        <w:jc w:val="both"/>
        <w:rPr>
          <w:rFonts w:ascii="Times New Roman" w:hAnsi="Times New Roman"/>
          <w:sz w:val="20"/>
          <w:szCs w:val="20"/>
          <w:lang w:val="pl-PL"/>
        </w:rPr>
      </w:pPr>
      <w:r>
        <w:rPr>
          <w:rFonts w:ascii="Times New Roman" w:hAnsi="Times New Roman"/>
          <w:sz w:val="20"/>
          <w:szCs w:val="20"/>
          <w:lang w:val="pl-PL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0"/>
          <w:szCs w:val="20"/>
        </w:rPr>
        <w:t>POPIS PREDMETA STEČAJNE MASE (čl.221. SZ)</w:t>
      </w:r>
    </w:p>
    <w:tbl>
      <w:tblPr>
        <w:tblW w:w="8104" w:type="dxa"/>
        <w:jc w:val="left"/>
        <w:tblInd w:w="8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0" w:type="dxa"/>
          <w:left w:w="98" w:type="dxa"/>
          <w:bottom w:w="0" w:type="dxa"/>
          <w:right w:w="108" w:type="dxa"/>
        </w:tblCellMar>
      </w:tblPr>
      <w:tblGrid>
        <w:gridCol w:w="577"/>
        <w:gridCol w:w="2458"/>
        <w:gridCol w:w="1151"/>
        <w:gridCol w:w="1306"/>
        <w:gridCol w:w="1308"/>
        <w:gridCol w:w="1303"/>
      </w:tblGrid>
      <w:tr>
        <w:trPr>
          <w:trHeight w:val="480" w:hRule="atLeast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sz w:val="14"/>
                <w:szCs w:val="1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R. Br.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Naziv pokretnine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Količina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sz w:val="14"/>
                <w:szCs w:val="1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Procijenjena vrijednost u kunama *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 xml:space="preserve">PRODANO </w:t>
            </w: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(iznos bez PDV)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PRODANA vrijednost s PDV</w:t>
            </w:r>
          </w:p>
        </w:tc>
      </w:tr>
      <w:tr>
        <w:trPr>
          <w:trHeight w:val="240" w:hRule="atLeast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2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Štanca za profile</w:t>
            </w:r>
          </w:p>
        </w:tc>
        <w:tc>
          <w:tcPr>
            <w:tcW w:w="1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900,00</w:t>
            </w:r>
          </w:p>
        </w:tc>
        <w:tc>
          <w:tcPr>
            <w:tcW w:w="1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900,00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1.125,00</w:t>
            </w:r>
          </w:p>
        </w:tc>
      </w:tr>
      <w:tr>
        <w:trPr>
          <w:trHeight w:val="240" w:hRule="atLeast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2.</w:t>
            </w:r>
          </w:p>
        </w:tc>
        <w:tc>
          <w:tcPr>
            <w:tcW w:w="2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Stupna bušilica</w:t>
            </w:r>
          </w:p>
        </w:tc>
        <w:tc>
          <w:tcPr>
            <w:tcW w:w="1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2.600,00</w:t>
            </w:r>
          </w:p>
        </w:tc>
        <w:tc>
          <w:tcPr>
            <w:tcW w:w="1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sz w:val="14"/>
                <w:szCs w:val="1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2.600,00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sz w:val="14"/>
                <w:szCs w:val="1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3.250,00</w:t>
            </w:r>
          </w:p>
        </w:tc>
      </w:tr>
      <w:tr>
        <w:trPr>
          <w:trHeight w:val="240" w:hRule="atLeast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3.</w:t>
            </w:r>
          </w:p>
        </w:tc>
        <w:tc>
          <w:tcPr>
            <w:tcW w:w="2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Pantograf glodalica - za brave</w:t>
            </w:r>
          </w:p>
        </w:tc>
        <w:tc>
          <w:tcPr>
            <w:tcW w:w="1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1.800,00</w:t>
            </w:r>
          </w:p>
        </w:tc>
        <w:tc>
          <w:tcPr>
            <w:tcW w:w="1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1.800,00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2.250,00</w:t>
            </w:r>
          </w:p>
        </w:tc>
      </w:tr>
      <w:tr>
        <w:trPr>
          <w:trHeight w:val="240" w:hRule="atLeast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4.</w:t>
            </w:r>
          </w:p>
        </w:tc>
        <w:tc>
          <w:tcPr>
            <w:tcW w:w="2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Trec glodalica ručna</w:t>
            </w:r>
          </w:p>
        </w:tc>
        <w:tc>
          <w:tcPr>
            <w:tcW w:w="1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1.200,00</w:t>
            </w:r>
          </w:p>
        </w:tc>
        <w:tc>
          <w:tcPr>
            <w:tcW w:w="1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1.200,00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1.500,00</w:t>
            </w:r>
          </w:p>
        </w:tc>
      </w:tr>
      <w:tr>
        <w:trPr>
          <w:trHeight w:val="240" w:hRule="atLeast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5.</w:t>
            </w:r>
          </w:p>
        </w:tc>
        <w:tc>
          <w:tcPr>
            <w:tcW w:w="2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Cirkular pila za profile Commal</w:t>
            </w:r>
          </w:p>
        </w:tc>
        <w:tc>
          <w:tcPr>
            <w:tcW w:w="1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700,00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875,00</w:t>
            </w:r>
          </w:p>
        </w:tc>
      </w:tr>
      <w:tr>
        <w:trPr>
          <w:trHeight w:val="240" w:hRule="atLeast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6.</w:t>
            </w:r>
          </w:p>
        </w:tc>
        <w:tc>
          <w:tcPr>
            <w:tcW w:w="2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Mobilni grijač zraka</w:t>
            </w:r>
          </w:p>
        </w:tc>
        <w:tc>
          <w:tcPr>
            <w:tcW w:w="1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1.400,00</w:t>
            </w:r>
          </w:p>
        </w:tc>
        <w:tc>
          <w:tcPr>
            <w:tcW w:w="1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1.400,00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1.750,00</w:t>
            </w:r>
          </w:p>
        </w:tc>
      </w:tr>
      <w:tr>
        <w:trPr>
          <w:trHeight w:val="240" w:hRule="atLeast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7.</w:t>
            </w:r>
          </w:p>
        </w:tc>
        <w:tc>
          <w:tcPr>
            <w:tcW w:w="2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Ručna elektr. Bušilica Makita</w:t>
            </w:r>
          </w:p>
        </w:tc>
        <w:tc>
          <w:tcPr>
            <w:tcW w:w="1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Nema vrijednost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>
        <w:trPr>
          <w:trHeight w:val="240" w:hRule="atLeast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8.</w:t>
            </w:r>
          </w:p>
        </w:tc>
        <w:tc>
          <w:tcPr>
            <w:tcW w:w="2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Ručna aku bušilica - odvijač WURTH</w:t>
            </w:r>
          </w:p>
        </w:tc>
        <w:tc>
          <w:tcPr>
            <w:tcW w:w="1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Nema vrijednost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>
        <w:trPr>
          <w:trHeight w:val="240" w:hRule="atLeast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9.</w:t>
            </w:r>
          </w:p>
        </w:tc>
        <w:tc>
          <w:tcPr>
            <w:tcW w:w="2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Ručna elektr. Brusilica Black&amp;Decker</w:t>
            </w:r>
          </w:p>
        </w:tc>
        <w:tc>
          <w:tcPr>
            <w:tcW w:w="1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Nema vrijednost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>
        <w:trPr>
          <w:trHeight w:val="240" w:hRule="atLeast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10.</w:t>
            </w:r>
          </w:p>
        </w:tc>
        <w:tc>
          <w:tcPr>
            <w:tcW w:w="2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Računalo stolno nekompletno</w:t>
            </w:r>
          </w:p>
        </w:tc>
        <w:tc>
          <w:tcPr>
            <w:tcW w:w="1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125,00</w:t>
            </w:r>
          </w:p>
        </w:tc>
      </w:tr>
      <w:tr>
        <w:trPr>
          <w:trHeight w:val="240" w:hRule="atLeast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11.</w:t>
            </w:r>
          </w:p>
        </w:tc>
        <w:tc>
          <w:tcPr>
            <w:tcW w:w="2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Telefaks Panasonic</w:t>
            </w:r>
          </w:p>
        </w:tc>
        <w:tc>
          <w:tcPr>
            <w:tcW w:w="1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Nema vrijednost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>
        <w:trPr>
          <w:trHeight w:val="240" w:hRule="atLeast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12.</w:t>
            </w:r>
          </w:p>
        </w:tc>
        <w:tc>
          <w:tcPr>
            <w:tcW w:w="2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Ormar uredski</w:t>
            </w:r>
          </w:p>
        </w:tc>
        <w:tc>
          <w:tcPr>
            <w:tcW w:w="1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125,00</w:t>
            </w:r>
          </w:p>
        </w:tc>
      </w:tr>
      <w:tr>
        <w:trPr>
          <w:trHeight w:val="240" w:hRule="atLeast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13.</w:t>
            </w:r>
          </w:p>
        </w:tc>
        <w:tc>
          <w:tcPr>
            <w:tcW w:w="2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Stolice</w:t>
            </w:r>
          </w:p>
        </w:tc>
        <w:tc>
          <w:tcPr>
            <w:tcW w:w="1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6</w:t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180,00</w:t>
            </w:r>
          </w:p>
        </w:tc>
        <w:tc>
          <w:tcPr>
            <w:tcW w:w="1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180,00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225,00</w:t>
            </w:r>
          </w:p>
        </w:tc>
      </w:tr>
      <w:tr>
        <w:trPr>
          <w:trHeight w:val="240" w:hRule="atLeast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14.</w:t>
            </w:r>
          </w:p>
        </w:tc>
        <w:tc>
          <w:tcPr>
            <w:tcW w:w="2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Sanduk za alat</w:t>
            </w:r>
          </w:p>
        </w:tc>
        <w:tc>
          <w:tcPr>
            <w:tcW w:w="1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62,50</w:t>
            </w:r>
          </w:p>
        </w:tc>
      </w:tr>
      <w:tr>
        <w:trPr>
          <w:trHeight w:val="240" w:hRule="atLeast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15.</w:t>
            </w:r>
          </w:p>
        </w:tc>
        <w:tc>
          <w:tcPr>
            <w:tcW w:w="2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Poslovni kofer</w:t>
            </w:r>
          </w:p>
        </w:tc>
        <w:tc>
          <w:tcPr>
            <w:tcW w:w="1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50,00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62,50</w:t>
            </w:r>
          </w:p>
        </w:tc>
      </w:tr>
      <w:tr>
        <w:trPr>
          <w:trHeight w:val="240" w:hRule="atLeast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16.</w:t>
            </w:r>
          </w:p>
        </w:tc>
        <w:tc>
          <w:tcPr>
            <w:tcW w:w="2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Kombi vozilo Renault Trafic – prodano kao sekundarna sirovina - "prijenos porezne obveze"</w:t>
            </w:r>
          </w:p>
        </w:tc>
        <w:tc>
          <w:tcPr>
            <w:tcW w:w="1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1.000,00</w:t>
            </w:r>
          </w:p>
        </w:tc>
        <w:tc>
          <w:tcPr>
            <w:tcW w:w="1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1.152,00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1.152,00</w:t>
            </w:r>
          </w:p>
        </w:tc>
      </w:tr>
      <w:tr>
        <w:trPr>
          <w:trHeight w:val="240" w:hRule="atLeast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17.</w:t>
            </w:r>
          </w:p>
        </w:tc>
        <w:tc>
          <w:tcPr>
            <w:tcW w:w="24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Kombi vozilo Volkswagen Transporter</w:t>
            </w:r>
          </w:p>
        </w:tc>
        <w:tc>
          <w:tcPr>
            <w:tcW w:w="11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130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16.500,00</w:t>
            </w:r>
          </w:p>
        </w:tc>
        <w:tc>
          <w:tcPr>
            <w:tcW w:w="1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16.500,00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20.625,00</w:t>
            </w:r>
          </w:p>
        </w:tc>
      </w:tr>
      <w:tr>
        <w:trPr>
          <w:trHeight w:val="240" w:hRule="atLeast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458" w:type="dxa"/>
            <w:tcBorders>
              <w:top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09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151" w:type="dxa"/>
            <w:tcBorders>
              <w:top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09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6" w:type="dxa"/>
            <w:tcBorders>
              <w:top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09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8" w:type="dxa"/>
            <w:tcBorders>
              <w:top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09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100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</w:r>
          </w:p>
        </w:tc>
      </w:tr>
      <w:tr>
        <w:trPr>
          <w:trHeight w:val="240" w:hRule="atLeast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2458" w:type="dxa"/>
            <w:tcBorders>
              <w:top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09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Ukupna vrijednost</w:t>
            </w:r>
          </w:p>
        </w:tc>
        <w:tc>
          <w:tcPr>
            <w:tcW w:w="1151" w:type="dxa"/>
            <w:tcBorders>
              <w:top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09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6" w:type="dxa"/>
            <w:tcBorders>
              <w:top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09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26.580,00</w:t>
            </w:r>
          </w:p>
        </w:tc>
        <w:tc>
          <w:tcPr>
            <w:tcW w:w="1308" w:type="dxa"/>
            <w:tcBorders>
              <w:top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09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sz w:val="14"/>
                <w:szCs w:val="1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26.732,00</w:t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100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6"/>
                <w:szCs w:val="16"/>
                <w:lang w:eastAsia="hr-HR"/>
              </w:rPr>
              <w:t>33.127,00</w:t>
            </w:r>
          </w:p>
        </w:tc>
      </w:tr>
      <w:tr>
        <w:trPr>
          <w:trHeight w:val="240" w:hRule="atLeast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458" w:type="dxa"/>
            <w:tcBorders>
              <w:top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09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151" w:type="dxa"/>
            <w:tcBorders>
              <w:top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09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306" w:type="dxa"/>
            <w:tcBorders>
              <w:top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09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09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100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rPr>
          <w:trHeight w:val="240" w:hRule="atLeast"/>
        </w:trPr>
        <w:tc>
          <w:tcPr>
            <w:tcW w:w="5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458" w:type="dxa"/>
            <w:tcBorders>
              <w:top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09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Prihodi od najma </w:t>
            </w:r>
            <w:r>
              <w:rPr>
                <w:rFonts w:ascii="Times New Roman" w:hAnsi="Times New Roman"/>
                <w:sz w:val="16"/>
                <w:szCs w:val="16"/>
              </w:rPr>
              <w:t>(PDV uključen)</w:t>
            </w:r>
          </w:p>
        </w:tc>
        <w:tc>
          <w:tcPr>
            <w:tcW w:w="1151" w:type="dxa"/>
            <w:tcBorders>
              <w:top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09" w:type="dxa"/>
            </w:tcMar>
            <w:vAlign w:val="bottom"/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306" w:type="dxa"/>
            <w:tcBorders>
              <w:top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09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308" w:type="dxa"/>
            <w:tcBorders>
              <w:top w:val="single" w:sz="2" w:space="0" w:color="000001"/>
              <w:bottom w:val="single" w:sz="2" w:space="0" w:color="000001"/>
              <w:insideH w:val="single" w:sz="2" w:space="0" w:color="000001"/>
            </w:tcBorders>
            <w:shd w:fill="FFFFFF" w:val="clear"/>
            <w:tcMar>
              <w:left w:w="109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130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FFFFFF" w:val="clear"/>
            <w:tcMar>
              <w:left w:w="100" w:type="dxa"/>
            </w:tcMar>
            <w:vAlign w:val="bottom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9.968,75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88"/>
        <w:ind w:right="0" w:hanging="0"/>
        <w:rPr/>
      </w:pPr>
      <w:r>
        <w:rPr>
          <w:rFonts w:cs="Times New Roman" w:ascii="Times New Roman" w:hAnsi="Times New Roman"/>
          <w:sz w:val="20"/>
          <w:szCs w:val="20"/>
        </w:rPr>
        <w:t>*Vrijednost nekretnina i pokretnina iskazana je po procijenjenoj vrijedn. od strane sudskog vještaka bez PDV-a</w:t>
      </w:r>
    </w:p>
    <w:p>
      <w:pPr>
        <w:pStyle w:val="Normal"/>
        <w:widowControl/>
        <w:bidi w:val="0"/>
        <w:spacing w:lineRule="auto" w:line="288" w:before="0" w:after="80"/>
        <w:ind w:left="0" w:right="0" w:hanging="0"/>
        <w:jc w:val="left"/>
        <w:rPr>
          <w:rFonts w:ascii="Times New Roman" w:hAnsi="Times New Roman" w:cs="Times New Roman"/>
          <w:sz w:val="20"/>
          <w:szCs w:val="20"/>
        </w:rPr>
      </w:pPr>
      <w:r>
        <w:rPr/>
      </w:r>
    </w:p>
    <w:p>
      <w:pPr>
        <w:pStyle w:val="Normal"/>
        <w:widowControl/>
        <w:bidi w:val="0"/>
        <w:spacing w:lineRule="auto" w:line="288" w:before="0" w:after="80"/>
        <w:ind w:left="0" w:right="0" w:hanging="0"/>
        <w:jc w:val="left"/>
        <w:rPr>
          <w:rFonts w:ascii="Times New Roman" w:hAnsi="Times New Roman" w:cs="Times New Roman"/>
          <w:sz w:val="20"/>
          <w:szCs w:val="20"/>
        </w:rPr>
      </w:pPr>
      <w:r>
        <w:rPr/>
      </w:r>
    </w:p>
    <w:p>
      <w:pPr>
        <w:pStyle w:val="Normal"/>
        <w:widowControl/>
        <w:bidi w:val="0"/>
        <w:spacing w:lineRule="auto" w:line="288" w:before="0" w:after="80"/>
        <w:ind w:left="0" w:right="0" w:hanging="0"/>
        <w:jc w:val="left"/>
        <w:rPr>
          <w:rFonts w:ascii="Times New Roman" w:hAnsi="Times New Roman" w:cs="Times New Roman"/>
          <w:sz w:val="20"/>
          <w:szCs w:val="20"/>
        </w:rPr>
      </w:pPr>
      <w:r>
        <w:rPr/>
      </w:r>
    </w:p>
    <w:p>
      <w:pPr>
        <w:pStyle w:val="Normal"/>
        <w:widowControl/>
        <w:bidi w:val="0"/>
        <w:spacing w:lineRule="auto" w:line="288" w:before="0" w:after="80"/>
        <w:ind w:left="0" w:right="0" w:hanging="0"/>
        <w:jc w:val="left"/>
        <w:rPr/>
      </w:pPr>
      <w:r>
        <w:rPr>
          <w:rFonts w:cs="Times New Roman" w:ascii="Times New Roman" w:hAnsi="Times New Roman"/>
          <w:sz w:val="20"/>
          <w:szCs w:val="20"/>
        </w:rPr>
        <w:t>Kao prilog ovom izvješću dostavljam i račune koji su bili izdavani tijekom postupka:</w:t>
      </w:r>
    </w:p>
    <w:p>
      <w:pPr>
        <w:pStyle w:val="Normal"/>
        <w:widowControl/>
        <w:bidi w:val="0"/>
        <w:spacing w:lineRule="auto" w:line="288" w:before="0" w:after="80"/>
        <w:ind w:left="0" w:right="0" w:hanging="0"/>
        <w:jc w:val="left"/>
        <w:rPr/>
      </w:pPr>
      <w:r>
        <w:rPr>
          <w:rFonts w:cs="Times New Roman" w:ascii="Times New Roman" w:hAnsi="Times New Roman"/>
          <w:sz w:val="20"/>
          <w:szCs w:val="20"/>
        </w:rPr>
        <w:t>Račun 1-01-01 (2017. godina) najam pokretnih stvari 468,75 kn (PDV uključen)</w:t>
      </w:r>
    </w:p>
    <w:p>
      <w:pPr>
        <w:pStyle w:val="Normal"/>
        <w:widowControl/>
        <w:bidi w:val="0"/>
        <w:spacing w:lineRule="auto" w:line="288" w:before="0" w:after="80"/>
        <w:ind w:left="0" w:right="0" w:hanging="0"/>
        <w:jc w:val="left"/>
        <w:rPr/>
      </w:pPr>
      <w:r>
        <w:rPr>
          <w:rFonts w:cs="Times New Roman" w:ascii="Times New Roman" w:hAnsi="Times New Roman"/>
          <w:sz w:val="20"/>
          <w:szCs w:val="20"/>
        </w:rPr>
        <w:t>Račun 2-01-01 (2017. godina) najam pokretnih stvari 1.500,00 kn (PDV uključen)</w:t>
      </w:r>
    </w:p>
    <w:p>
      <w:pPr>
        <w:pStyle w:val="Normal"/>
        <w:widowControl/>
        <w:bidi w:val="0"/>
        <w:spacing w:lineRule="auto" w:line="288" w:before="0" w:after="80"/>
        <w:ind w:left="0" w:right="0" w:hanging="0"/>
        <w:jc w:val="left"/>
        <w:rPr/>
      </w:pPr>
      <w:r>
        <w:rPr>
          <w:rFonts w:cs="Times New Roman" w:ascii="Times New Roman" w:hAnsi="Times New Roman"/>
          <w:sz w:val="20"/>
          <w:szCs w:val="20"/>
        </w:rPr>
        <w:t>Račun 3-01-01 (2017. godina) najam pokretnih stvari 500,00 kn (PDV uključen)</w:t>
      </w:r>
    </w:p>
    <w:p>
      <w:pPr>
        <w:pStyle w:val="Normal"/>
        <w:widowControl/>
        <w:bidi w:val="0"/>
        <w:spacing w:lineRule="auto" w:line="288" w:before="0" w:after="80"/>
        <w:ind w:left="0" w:right="0" w:hanging="0"/>
        <w:jc w:val="left"/>
        <w:rPr/>
      </w:pPr>
      <w:r>
        <w:rPr>
          <w:rFonts w:cs="Times New Roman" w:ascii="Times New Roman" w:hAnsi="Times New Roman"/>
          <w:sz w:val="20"/>
          <w:szCs w:val="20"/>
        </w:rPr>
        <w:t>Račun 4-01-01 (2017. godina) najam pokretnih stvari 1.500,00 kn (PDV uključen)</w:t>
      </w:r>
    </w:p>
    <w:p>
      <w:pPr>
        <w:pStyle w:val="Normal"/>
        <w:widowControl/>
        <w:bidi w:val="0"/>
        <w:spacing w:lineRule="auto" w:line="288" w:before="0" w:after="80"/>
        <w:ind w:left="0" w:right="0" w:hanging="0"/>
        <w:jc w:val="left"/>
        <w:rPr/>
      </w:pPr>
      <w:r>
        <w:rPr>
          <w:rFonts w:cs="Times New Roman" w:ascii="Times New Roman" w:hAnsi="Times New Roman"/>
          <w:sz w:val="20"/>
          <w:szCs w:val="20"/>
        </w:rPr>
        <w:t>Račun 5-01-01 (2017. godina) najam pokretnih stvari 1.500,00 kn (PDV uključen)</w:t>
      </w:r>
    </w:p>
    <w:p>
      <w:pPr>
        <w:pStyle w:val="Normal"/>
        <w:widowControl/>
        <w:bidi w:val="0"/>
        <w:spacing w:lineRule="auto" w:line="288" w:before="0" w:after="80"/>
        <w:ind w:left="0" w:right="0" w:hanging="0"/>
        <w:jc w:val="left"/>
        <w:rPr/>
      </w:pPr>
      <w:r>
        <w:rPr>
          <w:rFonts w:cs="Times New Roman" w:ascii="Times New Roman" w:hAnsi="Times New Roman"/>
          <w:sz w:val="20"/>
          <w:szCs w:val="20"/>
        </w:rPr>
        <w:t>Račun 6-01-01 (2017. godina) najam pokretnih stvari 1.500,00 kn (PDV uključen)</w:t>
      </w:r>
    </w:p>
    <w:p>
      <w:pPr>
        <w:pStyle w:val="Normal"/>
        <w:widowControl/>
        <w:bidi w:val="0"/>
        <w:spacing w:lineRule="auto" w:line="288" w:before="0" w:after="80"/>
        <w:ind w:left="0" w:right="0" w:hanging="0"/>
        <w:jc w:val="left"/>
        <w:rPr/>
      </w:pPr>
      <w:r>
        <w:rPr>
          <w:rFonts w:cs="Times New Roman" w:ascii="Times New Roman" w:hAnsi="Times New Roman"/>
          <w:sz w:val="20"/>
          <w:szCs w:val="20"/>
        </w:rPr>
        <w:t>Račun 7-01-01 (2017. godina) najam pokretnih stvari 1.500,00 kn (PDV uključen)</w:t>
      </w:r>
    </w:p>
    <w:p>
      <w:pPr>
        <w:pStyle w:val="Normal"/>
        <w:widowControl/>
        <w:bidi w:val="0"/>
        <w:spacing w:lineRule="auto" w:line="288" w:before="0" w:after="80"/>
        <w:ind w:left="0" w:right="0" w:hanging="0"/>
        <w:jc w:val="left"/>
        <w:rPr/>
      </w:pPr>
      <w:r>
        <w:rPr>
          <w:rFonts w:cs="Times New Roman" w:ascii="Times New Roman" w:hAnsi="Times New Roman"/>
          <w:sz w:val="20"/>
          <w:szCs w:val="20"/>
        </w:rPr>
        <w:t xml:space="preserve">Račun 8-01-01 (2017. godina) prodaja starog vozila – sekundarna sirovina 1.152,00 kn </w:t>
      </w:r>
    </w:p>
    <w:p>
      <w:pPr>
        <w:pStyle w:val="Normal"/>
        <w:widowControl/>
        <w:bidi w:val="0"/>
        <w:spacing w:lineRule="auto" w:line="288" w:before="0" w:after="80"/>
        <w:ind w:left="0" w:right="0" w:hanging="0"/>
        <w:jc w:val="left"/>
        <w:rPr/>
      </w:pPr>
      <w:r>
        <w:rPr>
          <w:rFonts w:cs="Times New Roman" w:ascii="Times New Roman" w:hAnsi="Times New Roman"/>
          <w:sz w:val="20"/>
          <w:szCs w:val="20"/>
        </w:rPr>
        <w:t>Račun 9-01-01 (2017. godina) prodaja kombi vozila 20.625,00 kn (PDV uključen)</w:t>
      </w:r>
    </w:p>
    <w:p>
      <w:pPr>
        <w:pStyle w:val="Normal"/>
        <w:widowControl/>
        <w:bidi w:val="0"/>
        <w:spacing w:lineRule="auto" w:line="288" w:before="0" w:after="80"/>
        <w:ind w:left="0" w:right="0" w:hanging="0"/>
        <w:jc w:val="left"/>
        <w:rPr/>
      </w:pPr>
      <w:r>
        <w:rPr>
          <w:rFonts w:cs="Times New Roman" w:ascii="Times New Roman" w:hAnsi="Times New Roman"/>
          <w:sz w:val="20"/>
          <w:szCs w:val="20"/>
        </w:rPr>
        <w:t>Račun 10-01-01 (2017. godina) najam pokretnih stvari 1.500,00 kn (PDV uključen)</w:t>
      </w:r>
    </w:p>
    <w:p>
      <w:pPr>
        <w:pStyle w:val="Normal"/>
        <w:widowControl/>
        <w:bidi w:val="0"/>
        <w:spacing w:lineRule="auto" w:line="288" w:before="0" w:after="80"/>
        <w:ind w:left="0" w:right="0" w:hanging="0"/>
        <w:jc w:val="left"/>
        <w:rPr/>
      </w:pPr>
      <w:r>
        <w:rPr>
          <w:rFonts w:cs="Times New Roman" w:ascii="Times New Roman" w:hAnsi="Times New Roman"/>
          <w:sz w:val="20"/>
          <w:szCs w:val="20"/>
        </w:rPr>
        <w:t>Račun 11-01-01 (2017. godina) prodaja pokretnih stvari – predmeta stečajne mase 8.100,00 kn (PDV uključen)</w:t>
      </w:r>
    </w:p>
    <w:p>
      <w:pPr>
        <w:pStyle w:val="Normal"/>
        <w:widowControl/>
        <w:bidi w:val="0"/>
        <w:spacing w:lineRule="auto" w:line="288" w:before="0" w:after="80"/>
        <w:ind w:left="0" w:right="0" w:hanging="0"/>
        <w:jc w:val="left"/>
        <w:rPr/>
      </w:pPr>
      <w:r>
        <w:rPr>
          <w:rFonts w:cs="Times New Roman" w:ascii="Times New Roman" w:hAnsi="Times New Roman"/>
          <w:sz w:val="20"/>
          <w:szCs w:val="20"/>
        </w:rPr>
        <w:t>Račun 1-01-01 (2018. godina) prodaja pokretne stvari – predmeta stečajne mase 3.250,00 kn (PDV uključen)</w:t>
      </w:r>
    </w:p>
    <w:p>
      <w:pPr>
        <w:pStyle w:val="Normal"/>
        <w:widowControl/>
        <w:bidi w:val="0"/>
        <w:spacing w:lineRule="auto" w:line="288" w:before="0" w:after="80"/>
        <w:ind w:left="0" w:right="0" w:hanging="0"/>
        <w:jc w:val="left"/>
        <w:rPr>
          <w:rFonts w:ascii="Times New Roman" w:hAnsi="Times New Roman" w:cs="Times New Roman"/>
          <w:sz w:val="20"/>
          <w:szCs w:val="20"/>
        </w:rPr>
      </w:pPr>
      <w:r>
        <w:rPr/>
      </w:r>
    </w:p>
    <w:p>
      <w:pPr>
        <w:pStyle w:val="Normal"/>
        <w:widowControl/>
        <w:bidi w:val="0"/>
        <w:spacing w:lineRule="auto" w:line="288" w:before="0" w:after="80"/>
        <w:ind w:left="0" w:right="0" w:hanging="0"/>
        <w:jc w:val="left"/>
        <w:rPr/>
      </w:pPr>
      <w:r>
        <w:rPr>
          <w:rFonts w:cs="Times New Roman" w:ascii="Times New Roman" w:hAnsi="Times New Roman"/>
          <w:sz w:val="20"/>
          <w:szCs w:val="20"/>
        </w:rPr>
        <w:t>Tijekom postupka obveze za porez na dodanu vrijednost plaćene su sukladno izdanim računima i uplati sredstava na račun u stečaju. S obzirom da su sa posljednjih računom izdanim sa  30.06.2018. godine, prodane sve pokretnine, pristupit će se izradi završnog računa u stečaju, u kojemu će biti prikazani svi troškovi u postupku i dati Sudu na odobrenje.</w:t>
      </w:r>
    </w:p>
    <w:p>
      <w:pPr>
        <w:pStyle w:val="Normal"/>
        <w:widowControl/>
        <w:bidi w:val="0"/>
        <w:spacing w:lineRule="auto" w:line="288" w:before="0" w:after="80"/>
        <w:ind w:left="0" w:right="0" w:hanging="0"/>
        <w:jc w:val="left"/>
        <w:rPr>
          <w:rFonts w:ascii="Times New Roman" w:hAnsi="Times New Roman" w:cs="Times New Roman"/>
          <w:sz w:val="20"/>
          <w:szCs w:val="20"/>
        </w:rPr>
      </w:pPr>
      <w:r>
        <w:rPr/>
      </w:r>
    </w:p>
    <w:p>
      <w:pPr>
        <w:pStyle w:val="Normal"/>
        <w:widowControl/>
        <w:bidi w:val="0"/>
        <w:spacing w:lineRule="auto" w:line="288" w:before="0" w:after="80"/>
        <w:ind w:left="0" w:right="0" w:hanging="0"/>
        <w:jc w:val="left"/>
        <w:rPr>
          <w:rFonts w:ascii="Times New Roman" w:hAnsi="Times New Roman" w:cs="Times New Roman"/>
          <w:sz w:val="20"/>
          <w:szCs w:val="20"/>
        </w:rPr>
      </w:pPr>
      <w:r>
        <w:rPr/>
      </w:r>
    </w:p>
    <w:p>
      <w:pPr>
        <w:pStyle w:val="Normal"/>
        <w:spacing w:lineRule="auto" w:line="288"/>
        <w:ind w:right="0" w:hanging="0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/>
      </w:pPr>
      <w:r>
        <w:rPr>
          <w:rFonts w:ascii="Times New Roman" w:hAnsi="Times New Roman"/>
          <w:sz w:val="20"/>
          <w:szCs w:val="20"/>
          <w:lang w:val="pl-PL"/>
        </w:rPr>
        <w:t xml:space="preserve">Mjesto i datum </w:t>
        <w:tab/>
        <w:tab/>
        <w:tab/>
        <w:tab/>
        <w:tab/>
        <w:tab/>
        <w:tab/>
        <w:t>Stečajni upravitelj</w:t>
      </w:r>
    </w:p>
    <w:p>
      <w:pPr>
        <w:pStyle w:val="Normal"/>
        <w:spacing w:before="0" w:after="80"/>
        <w:jc w:val="both"/>
        <w:rPr/>
      </w:pPr>
      <w:r>
        <w:rPr>
          <w:rFonts w:ascii="Times New Roman" w:hAnsi="Times New Roman"/>
          <w:sz w:val="20"/>
          <w:szCs w:val="20"/>
          <w:lang w:val="pl-PL"/>
        </w:rPr>
        <w:t>Čakovec, 31.07.2018.</w:t>
        <w:tab/>
        <w:tab/>
        <w:tab/>
        <w:tab/>
        <w:tab/>
        <w:tab/>
        <w:t>Vesna Baranašić Horvat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hr-HR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szCs w:val="22"/>
        <w:lang w:val="hr-HR" w:eastAsia="zh-CN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e1f39"/>
    <w:pPr>
      <w:widowControl/>
      <w:bidi w:val="0"/>
      <w:spacing w:lineRule="auto" w:line="240" w:before="0" w:after="80"/>
      <w:jc w:val="left"/>
    </w:pPr>
    <w:rPr>
      <w:rFonts w:ascii="Calibri" w:hAnsi="Calibri" w:eastAsia="Calibri" w:cs="Times New Roman" w:asciiTheme="minorHAnsi" w:hAnsiTheme="minorHAnsi"/>
      <w:color w:val="00000A"/>
      <w:sz w:val="22"/>
      <w:szCs w:val="22"/>
      <w:lang w:val="hr-HR" w:eastAsia="en-US" w:bidi="ar-SA"/>
    </w:rPr>
  </w:style>
  <w:style w:type="paragraph" w:styleId="Heading1">
    <w:name w:val="Heading 1"/>
    <w:basedOn w:val="Heading"/>
    <w:qFormat/>
    <w:pPr/>
    <w:rPr/>
  </w:style>
  <w:style w:type="paragraph" w:styleId="Heading2">
    <w:name w:val="Heading 2"/>
    <w:basedOn w:val="Heading"/>
    <w:qFormat/>
    <w:pPr/>
    <w:rPr/>
  </w:style>
  <w:style w:type="paragraph" w:styleId="Heading3">
    <w:name w:val="Heading 3"/>
    <w:basedOn w:val="Heading"/>
    <w:qFormat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ascii="Times New Roman" w:hAnsi="Times New Roman" w:cs="Times New Roman"/>
      <w:sz w:val="24"/>
    </w:rPr>
  </w:style>
  <w:style w:type="character" w:styleId="ListLabel2">
    <w:name w:val="ListLabel 2"/>
    <w:qFormat/>
    <w:rPr>
      <w:rFonts w:ascii="Times New Roman" w:hAnsi="Times New Roman" w:cs="Times New Roman"/>
      <w:sz w:val="24"/>
    </w:rPr>
  </w:style>
  <w:style w:type="character" w:styleId="WW8Num2z0">
    <w:name w:val="WW8Num2z0"/>
    <w:qFormat/>
    <w:rPr>
      <w:rFonts w:ascii="Symbol" w:hAnsi="Symbol" w:cs="OpenSymbol;Arial Unicode MS"/>
    </w:rPr>
  </w:style>
  <w:style w:type="character" w:styleId="WW8Num2z1">
    <w:name w:val="WW8Num2z1"/>
    <w:qFormat/>
    <w:rPr>
      <w:rFonts w:ascii="OpenSymbol;Arial Unicode MS" w:hAnsi="OpenSymbol;Arial Unicode MS" w:cs="OpenSymbol;Arial Unicode MS"/>
    </w:rPr>
  </w:style>
  <w:style w:type="character" w:styleId="ListLabel3">
    <w:name w:val="ListLabel 3"/>
    <w:qFormat/>
    <w:rPr>
      <w:rFonts w:ascii="Times New Roman" w:hAnsi="Times New Roman" w:cs="OpenSymbol;Arial Unicode MS"/>
      <w:b w:val="false"/>
      <w:sz w:val="16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Quotations">
    <w:name w:val="Quotations"/>
    <w:basedOn w:val="Normal"/>
    <w:qFormat/>
    <w:pPr/>
    <w:rPr/>
  </w:style>
  <w:style w:type="paragraph" w:styleId="Title">
    <w:name w:val="Title"/>
    <w:basedOn w:val="Heading"/>
    <w:qFormat/>
    <w:pPr/>
    <w:rPr/>
  </w:style>
  <w:style w:type="paragraph" w:styleId="Subtitle">
    <w:name w:val="Subtitle"/>
    <w:basedOn w:val="Heading"/>
    <w:qFormat/>
    <w:pPr/>
    <w:rPr/>
  </w:style>
  <w:style w:type="paragraph" w:styleId="Default">
    <w:name w:val="Default"/>
    <w:qFormat/>
    <w:pPr>
      <w:widowControl w:val="false"/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Liberation Serif;Times New Roman" w:cs="Liberation Serif;Times New Roman"/>
      <w:color w:val="000000"/>
      <w:sz w:val="24"/>
      <w:szCs w:val="24"/>
      <w:lang w:val="hr-HR" w:eastAsia="hi-IN" w:bidi="hi-IN"/>
    </w:rPr>
  </w:style>
  <w:style w:type="paragraph" w:styleId="TableContents">
    <w:name w:val="Table Contents"/>
    <w:basedOn w:val="Normal"/>
    <w:qFormat/>
    <w:pPr/>
    <w:rPr/>
  </w:style>
  <w:style w:type="paragraph" w:styleId="TableHeading">
    <w:name w:val="Table Heading"/>
    <w:basedOn w:val="TableContents"/>
    <w:qFormat/>
    <w:pPr/>
    <w:rPr/>
  </w:style>
  <w:style w:type="paragraph" w:styleId="Addressee">
    <w:name w:val="Addressee"/>
    <w:basedOn w:val="Normal"/>
    <w:pPr/>
    <w:rPr/>
  </w:style>
  <w:style w:type="paragraph" w:styleId="ComplimentaryClose">
    <w:name w:val="Complimentary Close"/>
    <w:basedOn w:val="Normal"/>
    <w:pPr/>
    <w:rPr/>
  </w:style>
  <w:style w:type="paragraph" w:styleId="Endnote">
    <w:name w:val="Endnote"/>
    <w:basedOn w:val="Normal"/>
    <w:pPr/>
    <w:rPr/>
  </w:style>
  <w:style w:type="paragraph" w:styleId="Footer">
    <w:name w:val="Footer"/>
    <w:basedOn w:val="Normal"/>
    <w:pPr/>
    <w:rPr/>
  </w:style>
  <w:style w:type="paragraph" w:styleId="FooterLeft">
    <w:name w:val="Footer Left"/>
    <w:basedOn w:val="Normal"/>
    <w:qFormat/>
    <w:pPr/>
    <w:rPr/>
  </w:style>
  <w:style w:type="paragraph" w:styleId="FooterRight">
    <w:name w:val="Footer Right"/>
    <w:basedOn w:val="Normal"/>
    <w:qFormat/>
    <w:pPr/>
    <w:rPr/>
  </w:style>
  <w:style w:type="paragraph" w:styleId="Footnote">
    <w:name w:val="Footnote"/>
    <w:basedOn w:val="Normal"/>
    <w:pPr/>
    <w:rPr/>
  </w:style>
  <w:style w:type="paragraph" w:styleId="FrameContents">
    <w:name w:val="Frame Contents"/>
    <w:basedOn w:val="Normal"/>
    <w:qFormat/>
    <w:pPr/>
    <w:rPr/>
  </w:style>
  <w:style w:type="paragraph" w:styleId="Header">
    <w:name w:val="Header"/>
    <w:basedOn w:val="Normal"/>
    <w:pPr/>
    <w:rPr/>
  </w:style>
  <w:style w:type="paragraph" w:styleId="HeaderLeft">
    <w:name w:val="Header Left"/>
    <w:basedOn w:val="Normal"/>
    <w:qFormat/>
    <w:pPr/>
    <w:rPr/>
  </w:style>
  <w:style w:type="paragraph" w:styleId="HeaderRight">
    <w:name w:val="Header Right"/>
    <w:basedOn w:val="Normal"/>
    <w:qFormat/>
    <w:pPr/>
    <w:rPr/>
  </w:style>
  <w:style w:type="paragraph" w:styleId="HorizontalLine">
    <w:name w:val="Horizontal Line"/>
    <w:basedOn w:val="Normal"/>
    <w:qFormat/>
    <w:pPr/>
    <w:rPr/>
  </w:style>
  <w:style w:type="paragraph" w:styleId="ListContents">
    <w:name w:val="List Contents"/>
    <w:basedOn w:val="Normal"/>
    <w:qFormat/>
    <w:pPr/>
    <w:rPr/>
  </w:style>
  <w:style w:type="paragraph" w:styleId="ListHeading">
    <w:name w:val="List Heading"/>
    <w:basedOn w:val="Normal"/>
    <w:qFormat/>
    <w:pPr/>
    <w:rPr/>
  </w:style>
  <w:style w:type="paragraph" w:styleId="PreformattedText">
    <w:name w:val="Preformatted Text"/>
    <w:basedOn w:val="Normal"/>
    <w:qFormat/>
    <w:pPr/>
    <w:rPr/>
  </w:style>
  <w:style w:type="paragraph" w:styleId="Sender">
    <w:name w:val="Sender"/>
    <w:basedOn w:val="Normal"/>
    <w:pPr/>
    <w:rPr/>
  </w:style>
  <w:style w:type="paragraph" w:styleId="Signature">
    <w:name w:val="Signature"/>
    <w:basedOn w:val="Normal"/>
    <w:pPr/>
    <w:rPr/>
  </w:style>
  <w:style w:type="numbering" w:styleId="NoList" w:default="1">
    <w:name w:val="No List"/>
    <w:uiPriority w:val="99"/>
    <w:semiHidden/>
    <w:unhideWhenUsed/>
  </w:style>
  <w:style w:type="numbering" w:styleId="WW8Num2">
    <w:name w:val="WW8Num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Application>LibreOffice/5.0.1.2$Windows_x86 LibreOffice_project/81898c9f5c0d43f3473ba111d7b351050be20261</Application>
  <Paragraphs>148</Paragraphs>
  <Company>IBM Corporation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2015-10-13T08:30:00Z</dcterms:created>
  <dc:creator>ADMINIBM</dc:creator>
  <dc:language>hr-HR</dc:language>
  <cp:lastPrinted>2018-08-01T15:21:31Z</cp:lastPrinted>
  <dcterms:modified xsi:type="dcterms:W3CDTF">2018-08-01T15:21:52Z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IBM Corporation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